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2F38E" w14:textId="77777777" w:rsidR="00297B20" w:rsidRDefault="00297B20" w:rsidP="008E5D92">
      <w:pPr>
        <w:spacing w:before="100" w:beforeAutospacing="1" w:after="100" w:afterAutospacing="1"/>
        <w:rPr>
          <w:rFonts w:ascii="Arial" w:hAnsi="Arial" w:cs="Arial"/>
          <w:b/>
          <w:color w:val="FF0000"/>
          <w:sz w:val="40"/>
          <w:szCs w:val="40"/>
          <w:lang w:val="en-US"/>
        </w:rPr>
      </w:pPr>
    </w:p>
    <w:p w14:paraId="0C566E0C" w14:textId="77777777" w:rsidR="00D10172" w:rsidRDefault="00D10172" w:rsidP="00106B9F">
      <w:pPr>
        <w:spacing w:before="100" w:beforeAutospacing="1" w:after="100" w:afterAutospacing="1"/>
        <w:jc w:val="center"/>
        <w:rPr>
          <w:rFonts w:ascii="Arial" w:hAnsi="Arial" w:cs="Arial"/>
          <w:b/>
          <w:color w:val="FF0000"/>
          <w:sz w:val="40"/>
          <w:szCs w:val="40"/>
          <w:lang w:val="en-US"/>
        </w:rPr>
      </w:pPr>
      <w:r>
        <w:rPr>
          <w:rFonts w:ascii="Arial" w:hAnsi="Arial" w:cs="Arial"/>
          <w:b/>
          <w:color w:val="FF0000"/>
          <w:sz w:val="40"/>
          <w:szCs w:val="40"/>
          <w:lang w:val="en-US"/>
        </w:rPr>
        <w:t>Communiqué de presse:</w:t>
      </w:r>
    </w:p>
    <w:p w14:paraId="6AC88591" w14:textId="77777777" w:rsidR="00106B9F" w:rsidRPr="00106B9F" w:rsidRDefault="00106B9F" w:rsidP="00106B9F">
      <w:pPr>
        <w:spacing w:before="100" w:beforeAutospacing="1" w:after="100" w:afterAutospacing="1"/>
        <w:jc w:val="center"/>
        <w:rPr>
          <w:lang w:val="fr-FR"/>
        </w:rPr>
      </w:pPr>
      <w:r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Yves Rocher </w:t>
      </w:r>
      <w:r w:rsidR="00E9758A">
        <w:rPr>
          <w:rFonts w:ascii="Arial" w:hAnsi="Arial" w:cs="Arial"/>
          <w:b/>
          <w:sz w:val="40"/>
          <w:szCs w:val="40"/>
          <w:lang w:val="en-US"/>
        </w:rPr>
        <w:t>est la Chai</w:t>
      </w:r>
      <w:r>
        <w:rPr>
          <w:rFonts w:ascii="Arial" w:hAnsi="Arial" w:cs="Arial"/>
          <w:b/>
          <w:sz w:val="40"/>
          <w:szCs w:val="40"/>
          <w:lang w:val="en-US"/>
        </w:rPr>
        <w:t xml:space="preserve">ne de </w:t>
      </w:r>
      <w:r w:rsidR="00F94C86">
        <w:rPr>
          <w:rFonts w:ascii="Arial" w:hAnsi="Arial" w:cs="Arial"/>
          <w:b/>
          <w:sz w:val="40"/>
          <w:szCs w:val="40"/>
          <w:lang w:val="en-US"/>
        </w:rPr>
        <w:t xml:space="preserve">Magasins </w:t>
      </w:r>
      <w:r>
        <w:rPr>
          <w:rFonts w:ascii="Arial" w:hAnsi="Arial" w:cs="Arial"/>
          <w:b/>
          <w:sz w:val="40"/>
          <w:szCs w:val="40"/>
          <w:lang w:val="en-US"/>
        </w:rPr>
        <w:t xml:space="preserve">de l’Année </w:t>
      </w:r>
      <w:r>
        <w:rPr>
          <w:rFonts w:ascii="Arial" w:hAnsi="Arial" w:cs="Arial"/>
          <w:b/>
          <w:color w:val="FF0000"/>
          <w:sz w:val="40"/>
          <w:szCs w:val="40"/>
          <w:lang w:val="en-US"/>
        </w:rPr>
        <w:t xml:space="preserve">France </w:t>
      </w:r>
      <w:r>
        <w:rPr>
          <w:rFonts w:ascii="Arial" w:hAnsi="Arial" w:cs="Arial"/>
          <w:b/>
          <w:sz w:val="40"/>
          <w:szCs w:val="40"/>
          <w:lang w:val="en-US"/>
        </w:rPr>
        <w:t>2012</w:t>
      </w:r>
    </w:p>
    <w:p w14:paraId="29B90942" w14:textId="77777777" w:rsidR="00106B9F" w:rsidRPr="00106B9F" w:rsidRDefault="00252097" w:rsidP="00106B9F">
      <w:pPr>
        <w:spacing w:before="100" w:beforeAutospacing="1" w:after="100" w:afterAutospacing="1"/>
        <w:jc w:val="center"/>
        <w:rPr>
          <w:lang w:val="fr-FR"/>
        </w:rPr>
      </w:pPr>
      <w:r>
        <w:rPr>
          <w:rFonts w:ascii="Arial" w:hAnsi="Arial" w:cs="Arial"/>
          <w:b/>
          <w:i/>
          <w:sz w:val="30"/>
          <w:szCs w:val="30"/>
          <w:lang w:val="en-US"/>
        </w:rPr>
        <w:t xml:space="preserve"> </w:t>
      </w:r>
      <w:r w:rsidR="00E9758A">
        <w:rPr>
          <w:rFonts w:ascii="Arial" w:hAnsi="Arial" w:cs="Arial"/>
          <w:b/>
          <w:i/>
          <w:sz w:val="30"/>
          <w:szCs w:val="30"/>
          <w:lang w:val="en-US"/>
        </w:rPr>
        <w:t>‘La notion de prix est la</w:t>
      </w:r>
      <w:r w:rsidR="00106B9F">
        <w:rPr>
          <w:rFonts w:ascii="Arial" w:hAnsi="Arial" w:cs="Arial"/>
          <w:b/>
          <w:i/>
          <w:sz w:val="30"/>
          <w:szCs w:val="30"/>
          <w:lang w:val="en-US"/>
        </w:rPr>
        <w:t xml:space="preserve"> plus important</w:t>
      </w:r>
      <w:r w:rsidR="00E9758A">
        <w:rPr>
          <w:rFonts w:ascii="Arial" w:hAnsi="Arial" w:cs="Arial"/>
          <w:b/>
          <w:i/>
          <w:sz w:val="30"/>
          <w:szCs w:val="30"/>
          <w:lang w:val="en-US"/>
        </w:rPr>
        <w:t>e</w:t>
      </w:r>
      <w:r w:rsidR="00106B9F">
        <w:rPr>
          <w:rFonts w:ascii="Arial" w:hAnsi="Arial" w:cs="Arial"/>
          <w:b/>
          <w:i/>
          <w:sz w:val="30"/>
          <w:szCs w:val="30"/>
          <w:lang w:val="en-US"/>
        </w:rPr>
        <w:t xml:space="preserve"> pour les consommateurs’</w:t>
      </w:r>
    </w:p>
    <w:p w14:paraId="3AA4ECF0" w14:textId="77777777" w:rsidR="00297B20" w:rsidRDefault="00310C00" w:rsidP="00106B9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color w:val="FF0000"/>
          <w:sz w:val="20"/>
          <w:szCs w:val="20"/>
          <w:lang w:val="en-US"/>
        </w:rPr>
        <w:t>08</w:t>
      </w:r>
      <w:bookmarkStart w:id="0" w:name="_GoBack"/>
      <w:bookmarkEnd w:id="0"/>
      <w:r w:rsidR="00661F3F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janvier</w:t>
      </w:r>
      <w:r w:rsidR="002F2AF6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2F2AF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Paris </w:t>
      </w:r>
      <w:r w:rsidR="00D10172">
        <w:rPr>
          <w:rFonts w:ascii="Arial" w:hAnsi="Arial" w:cs="Arial"/>
          <w:b/>
          <w:sz w:val="20"/>
          <w:szCs w:val="20"/>
          <w:lang w:val="en-US"/>
        </w:rPr>
        <w:t>–</w:t>
      </w:r>
      <w:r w:rsidR="002F2AF6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106B9F">
        <w:rPr>
          <w:rFonts w:ascii="Arial" w:hAnsi="Arial" w:cs="Arial"/>
          <w:b/>
          <w:sz w:val="20"/>
          <w:szCs w:val="20"/>
          <w:lang w:val="en-US"/>
        </w:rPr>
        <w:t>Le gagnant de “</w:t>
      </w:r>
      <w:r w:rsidR="002F2AF6">
        <w:rPr>
          <w:rFonts w:ascii="Arial" w:hAnsi="Arial" w:cs="Arial"/>
          <w:b/>
          <w:sz w:val="20"/>
          <w:szCs w:val="20"/>
          <w:lang w:val="en-US"/>
        </w:rPr>
        <w:t xml:space="preserve">Meilleure </w:t>
      </w:r>
      <w:r w:rsidR="00E9758A">
        <w:rPr>
          <w:rFonts w:ascii="Arial" w:hAnsi="Arial" w:cs="Arial"/>
          <w:b/>
          <w:sz w:val="20"/>
          <w:szCs w:val="20"/>
          <w:lang w:val="en-US"/>
        </w:rPr>
        <w:t>Chai</w:t>
      </w:r>
      <w:r w:rsidR="00106B9F">
        <w:rPr>
          <w:rFonts w:ascii="Arial" w:hAnsi="Arial" w:cs="Arial"/>
          <w:b/>
          <w:sz w:val="20"/>
          <w:szCs w:val="20"/>
          <w:lang w:val="en-US"/>
        </w:rPr>
        <w:t xml:space="preserve">ne de </w:t>
      </w:r>
      <w:r w:rsidR="002F2AF6">
        <w:rPr>
          <w:rFonts w:ascii="Arial" w:hAnsi="Arial" w:cs="Arial"/>
          <w:b/>
          <w:sz w:val="20"/>
          <w:szCs w:val="20"/>
          <w:lang w:val="en-US"/>
        </w:rPr>
        <w:t>Magasins</w:t>
      </w:r>
      <w:r w:rsidR="00106B9F">
        <w:rPr>
          <w:rFonts w:ascii="Arial" w:hAnsi="Arial" w:cs="Arial"/>
          <w:b/>
          <w:sz w:val="20"/>
          <w:szCs w:val="20"/>
          <w:lang w:val="en-US"/>
        </w:rPr>
        <w:t xml:space="preserve"> de l’Année 2012 </w:t>
      </w:r>
      <w:r w:rsidR="00106B9F">
        <w:rPr>
          <w:rFonts w:ascii="Arial" w:hAnsi="Arial" w:cs="Arial"/>
          <w:b/>
          <w:color w:val="FF0000"/>
          <w:sz w:val="20"/>
          <w:szCs w:val="20"/>
          <w:lang w:val="en-US"/>
        </w:rPr>
        <w:t>France</w:t>
      </w:r>
      <w:r w:rsidR="00106B9F">
        <w:rPr>
          <w:rFonts w:ascii="Arial" w:hAnsi="Arial" w:cs="Arial"/>
          <w:b/>
          <w:sz w:val="20"/>
          <w:szCs w:val="20"/>
          <w:lang w:val="en-US"/>
        </w:rPr>
        <w:t xml:space="preserve"> est annoncé. </w:t>
      </w:r>
    </w:p>
    <w:p w14:paraId="6422835C" w14:textId="77777777" w:rsidR="00297B20" w:rsidRPr="008E5D92" w:rsidRDefault="00297B20" w:rsidP="00106B9F">
      <w:pPr>
        <w:spacing w:before="100" w:beforeAutospacing="1" w:after="100" w:afterAutospacing="1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C’est le 6 décembre dernier que la remise des Trophées de la MCMA a été présentée à la presse et à l’ensemble du monde du retail lors d’une conference à l’hôtel Bedford à Paris dans le 8ème.</w:t>
      </w:r>
    </w:p>
    <w:p w14:paraId="1B1647E7" w14:textId="77777777" w:rsidR="00297B20" w:rsidRPr="00297B20" w:rsidRDefault="00106B9F" w:rsidP="00252097">
      <w:pPr>
        <w:tabs>
          <w:tab w:val="left" w:pos="284"/>
        </w:tabs>
        <w:spacing w:before="100" w:beforeAutospacing="1" w:after="100" w:afterAutospacing="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Au total, plus de </w:t>
      </w:r>
      <w:r w:rsidRPr="00106B9F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14.000 </w:t>
      </w:r>
      <w:r>
        <w:rPr>
          <w:rFonts w:ascii="Arial" w:hAnsi="Arial" w:cs="Arial"/>
          <w:b/>
          <w:sz w:val="20"/>
          <w:szCs w:val="20"/>
          <w:lang w:val="en-US"/>
        </w:rPr>
        <w:t>consommateurs ont évalué les</w:t>
      </w:r>
      <w:r w:rsidRPr="00106B9F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158 </w:t>
      </w:r>
      <w:r w:rsidR="00252097">
        <w:rPr>
          <w:rFonts w:ascii="Arial" w:hAnsi="Arial" w:cs="Arial"/>
          <w:b/>
          <w:sz w:val="20"/>
          <w:szCs w:val="20"/>
          <w:lang w:val="en-US"/>
        </w:rPr>
        <w:t xml:space="preserve">différentes </w:t>
      </w:r>
      <w:r w:rsidR="00297B20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Chaines de magasins</w:t>
      </w:r>
      <w:r w:rsidR="0025209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dans 20 catégories différentes. Ceci a donné un résultat de plus de </w:t>
      </w:r>
      <w:r w:rsidRPr="00252097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43.000 </w:t>
      </w:r>
      <w:r>
        <w:rPr>
          <w:rFonts w:ascii="Arial" w:hAnsi="Arial" w:cs="Arial"/>
          <w:b/>
          <w:sz w:val="20"/>
          <w:szCs w:val="20"/>
          <w:lang w:val="en-US"/>
        </w:rPr>
        <w:t>évaluations. Si nous observons la note moyenne, nous pouvons voir une légère diminution.</w:t>
      </w:r>
    </w:p>
    <w:p w14:paraId="40D1167A" w14:textId="77777777" w:rsidR="00297B20" w:rsidRDefault="00106B9F" w:rsidP="00106B9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52097">
        <w:rPr>
          <w:rFonts w:ascii="Arial" w:hAnsi="Arial" w:cs="Arial"/>
          <w:b/>
          <w:sz w:val="20"/>
          <w:szCs w:val="20"/>
          <w:lang w:val="en-US"/>
        </w:rPr>
        <w:t>Alors que</w:t>
      </w:r>
      <w:r w:rsidR="00252097">
        <w:rPr>
          <w:rFonts w:ascii="Arial" w:hAnsi="Arial" w:cs="Arial"/>
          <w:b/>
          <w:sz w:val="20"/>
          <w:szCs w:val="20"/>
          <w:lang w:val="en-US"/>
        </w:rPr>
        <w:t xml:space="preserve"> :</w:t>
      </w:r>
    </w:p>
    <w:p w14:paraId="30580A95" w14:textId="77777777" w:rsidR="00297B20" w:rsidRDefault="00297B20" w:rsidP="00106B9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L</w:t>
      </w:r>
      <w:r w:rsidR="00106B9F">
        <w:rPr>
          <w:rFonts w:ascii="Arial" w:hAnsi="Arial" w:cs="Arial"/>
          <w:b/>
          <w:sz w:val="20"/>
          <w:szCs w:val="20"/>
          <w:lang w:val="en-US"/>
        </w:rPr>
        <w:t xml:space="preserve">e score moyen de l’an dernier était de </w:t>
      </w:r>
      <w:r w:rsidR="00106B9F" w:rsidRPr="00106B9F">
        <w:rPr>
          <w:rFonts w:ascii="Arial" w:hAnsi="Arial" w:cs="Arial"/>
          <w:b/>
          <w:color w:val="FF0000"/>
          <w:sz w:val="20"/>
          <w:szCs w:val="20"/>
          <w:lang w:val="en-US"/>
        </w:rPr>
        <w:t>6.14</w:t>
      </w:r>
      <w:r w:rsidR="00106B9F">
        <w:rPr>
          <w:rFonts w:ascii="Arial" w:hAnsi="Arial" w:cs="Arial"/>
          <w:b/>
          <w:sz w:val="20"/>
          <w:szCs w:val="20"/>
          <w:lang w:val="en-US"/>
        </w:rPr>
        <w:t xml:space="preserve">, il est cette année de </w:t>
      </w:r>
      <w:r w:rsidR="00106B9F" w:rsidRPr="00106B9F">
        <w:rPr>
          <w:rFonts w:ascii="Arial" w:hAnsi="Arial" w:cs="Arial"/>
          <w:b/>
          <w:color w:val="FF0000"/>
          <w:sz w:val="20"/>
          <w:szCs w:val="20"/>
          <w:lang w:val="en-US"/>
        </w:rPr>
        <w:t>6.11</w:t>
      </w:r>
      <w:r w:rsidR="00106B9F">
        <w:rPr>
          <w:rFonts w:ascii="Arial" w:hAnsi="Arial" w:cs="Arial"/>
          <w:b/>
          <w:sz w:val="20"/>
          <w:szCs w:val="20"/>
          <w:lang w:val="en-US"/>
        </w:rPr>
        <w:t xml:space="preserve">. </w:t>
      </w:r>
    </w:p>
    <w:p w14:paraId="3C9ABBD0" w14:textId="77777777" w:rsidR="00297B20" w:rsidRDefault="00106B9F" w:rsidP="00106B9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Les consommateurs ont donné la</w:t>
      </w:r>
      <w:r w:rsidR="00E9758A">
        <w:rPr>
          <w:rFonts w:ascii="Arial" w:hAnsi="Arial" w:cs="Arial"/>
          <w:b/>
          <w:sz w:val="20"/>
          <w:szCs w:val="20"/>
          <w:lang w:val="en-US"/>
        </w:rPr>
        <w:t xml:space="preserve"> meilleure évaluation au critère </w:t>
      </w:r>
      <w:r w:rsidRPr="00106B9F">
        <w:rPr>
          <w:rFonts w:ascii="Arial" w:hAnsi="Arial" w:cs="Arial"/>
          <w:b/>
          <w:color w:val="FF0000"/>
          <w:sz w:val="20"/>
          <w:szCs w:val="20"/>
          <w:lang w:val="en-US"/>
        </w:rPr>
        <w:t>Amabilité envers le client</w:t>
      </w:r>
      <w:r>
        <w:rPr>
          <w:rFonts w:ascii="Arial" w:hAnsi="Arial" w:cs="Arial"/>
          <w:b/>
          <w:sz w:val="20"/>
          <w:szCs w:val="20"/>
          <w:lang w:val="en-US"/>
        </w:rPr>
        <w:t xml:space="preserve">. </w:t>
      </w:r>
    </w:p>
    <w:p w14:paraId="1723F18F" w14:textId="77777777" w:rsidR="00297B20" w:rsidRDefault="00106B9F" w:rsidP="00106B9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L’aspect le plus important est, comme l’an dernier, </w:t>
      </w:r>
      <w:r w:rsidRPr="00E9758A">
        <w:rPr>
          <w:rFonts w:ascii="Arial" w:hAnsi="Arial" w:cs="Arial"/>
          <w:b/>
          <w:color w:val="FF0000"/>
          <w:sz w:val="20"/>
          <w:szCs w:val="20"/>
          <w:lang w:val="en-US"/>
        </w:rPr>
        <w:t>le rapport Qualité / Prix</w:t>
      </w:r>
      <w:r>
        <w:rPr>
          <w:rFonts w:ascii="Arial" w:hAnsi="Arial" w:cs="Arial"/>
          <w:b/>
          <w:sz w:val="20"/>
          <w:szCs w:val="20"/>
          <w:lang w:val="en-US"/>
        </w:rPr>
        <w:t xml:space="preserve">. </w:t>
      </w:r>
    </w:p>
    <w:p w14:paraId="58F6AA01" w14:textId="77777777" w:rsidR="00106B9F" w:rsidRDefault="00106B9F" w:rsidP="00106B9F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Les autres aspects Prix sont évalués comme les deuxième et troisième aspects les plus importants. Ceci </w:t>
      </w:r>
      <w:r w:rsidR="002F2AF6">
        <w:rPr>
          <w:rFonts w:ascii="Arial" w:hAnsi="Arial" w:cs="Arial"/>
          <w:b/>
          <w:sz w:val="20"/>
          <w:szCs w:val="20"/>
          <w:lang w:val="en-US"/>
        </w:rPr>
        <w:t>provient</w:t>
      </w:r>
      <w:r>
        <w:rPr>
          <w:rFonts w:ascii="Arial" w:hAnsi="Arial" w:cs="Arial"/>
          <w:b/>
          <w:sz w:val="20"/>
          <w:szCs w:val="20"/>
          <w:lang w:val="en-US"/>
        </w:rPr>
        <w:t xml:space="preserve"> d’une enquête client de Q&amp;A Research &amp; Consultancy</w:t>
      </w:r>
    </w:p>
    <w:p w14:paraId="09E4C4E7" w14:textId="77777777" w:rsidR="00297B20" w:rsidRPr="00297B20" w:rsidRDefault="00297B20" w:rsidP="00106B9F">
      <w:pPr>
        <w:spacing w:before="100" w:beforeAutospacing="1" w:after="100" w:afterAutospacing="1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Effectuée entre avril 2012 et fin octobre 2012 auprès de 14 000 consommateurs français representatif de la population.</w:t>
      </w:r>
    </w:p>
    <w:p w14:paraId="286291E9" w14:textId="77777777" w:rsidR="00252097" w:rsidRDefault="00106B9F" w:rsidP="00106B9F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Pour la </w:t>
      </w:r>
      <w:r w:rsidRPr="002F2AF6">
        <w:rPr>
          <w:rFonts w:ascii="Arial" w:hAnsi="Arial" w:cs="Arial"/>
          <w:color w:val="FF0000"/>
          <w:sz w:val="20"/>
          <w:szCs w:val="20"/>
          <w:lang w:val="en-US"/>
        </w:rPr>
        <w:t>cinquième fois</w:t>
      </w:r>
      <w:r>
        <w:rPr>
          <w:rFonts w:ascii="Arial" w:hAnsi="Arial" w:cs="Arial"/>
          <w:sz w:val="20"/>
          <w:szCs w:val="20"/>
          <w:lang w:val="en-US"/>
        </w:rPr>
        <w:t xml:space="preserve">, les consommateurs ont pu évaluer leurs </w:t>
      </w:r>
      <w:r w:rsidR="00E9758A">
        <w:rPr>
          <w:rFonts w:ascii="Arial" w:hAnsi="Arial" w:cs="Arial"/>
          <w:sz w:val="20"/>
          <w:szCs w:val="20"/>
          <w:lang w:val="en-US"/>
        </w:rPr>
        <w:t>chai</w:t>
      </w:r>
      <w:r w:rsidR="002F2AF6">
        <w:rPr>
          <w:rFonts w:ascii="Arial" w:hAnsi="Arial" w:cs="Arial"/>
          <w:sz w:val="20"/>
          <w:szCs w:val="20"/>
          <w:lang w:val="en-US"/>
        </w:rPr>
        <w:t xml:space="preserve">nes de magasins favorites </w:t>
      </w:r>
      <w:r>
        <w:rPr>
          <w:rFonts w:ascii="Arial" w:hAnsi="Arial" w:cs="Arial"/>
          <w:sz w:val="20"/>
          <w:szCs w:val="20"/>
          <w:lang w:val="en-US"/>
        </w:rPr>
        <w:t>sur les aspects suivants: Rapport Qualité /Prix, Niveau de Prix, Promotions &amp; Offres, Assortiment, Service, Expertise du Personnel, Innovation, Amabilité du Personnel envers le C</w:t>
      </w:r>
      <w:r w:rsidR="002F2AF6">
        <w:rPr>
          <w:rFonts w:ascii="Arial" w:hAnsi="Arial" w:cs="Arial"/>
          <w:sz w:val="20"/>
          <w:szCs w:val="20"/>
          <w:lang w:val="en-US"/>
        </w:rPr>
        <w:t>lient, et Atmosph</w:t>
      </w:r>
      <w:r>
        <w:rPr>
          <w:rFonts w:ascii="Arial" w:hAnsi="Arial" w:cs="Arial"/>
          <w:sz w:val="20"/>
          <w:szCs w:val="20"/>
          <w:lang w:val="en-US"/>
        </w:rPr>
        <w:t xml:space="preserve">ère du Magasin. </w:t>
      </w:r>
    </w:p>
    <w:p w14:paraId="68844FC4" w14:textId="77777777" w:rsidR="00106B9F" w:rsidRPr="002F2AF6" w:rsidRDefault="006B50F8" w:rsidP="00106B9F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Un échantillon est sélectionné au commencement de l’enquête, pour </w:t>
      </w:r>
      <w:r w:rsidR="002F2AF6">
        <w:rPr>
          <w:rFonts w:ascii="Arial" w:hAnsi="Arial" w:cs="Arial"/>
          <w:sz w:val="20"/>
          <w:szCs w:val="20"/>
          <w:lang w:val="en-US"/>
        </w:rPr>
        <w:t>dé</w:t>
      </w:r>
      <w:r>
        <w:rPr>
          <w:rFonts w:ascii="Arial" w:hAnsi="Arial" w:cs="Arial"/>
          <w:sz w:val="20"/>
          <w:szCs w:val="20"/>
          <w:lang w:val="en-US"/>
        </w:rPr>
        <w:t>terminer</w:t>
      </w:r>
      <w:r w:rsidR="002F2AF6">
        <w:rPr>
          <w:rFonts w:ascii="Arial" w:hAnsi="Arial" w:cs="Arial"/>
          <w:sz w:val="20"/>
          <w:szCs w:val="20"/>
          <w:lang w:val="en-US"/>
        </w:rPr>
        <w:t xml:space="preserve"> l’</w:t>
      </w:r>
      <w:r w:rsidR="00E9758A">
        <w:rPr>
          <w:rFonts w:ascii="Arial" w:hAnsi="Arial" w:cs="Arial"/>
          <w:sz w:val="20"/>
          <w:szCs w:val="20"/>
          <w:lang w:val="en-US"/>
        </w:rPr>
        <w:t>importance à</w:t>
      </w:r>
      <w:r>
        <w:rPr>
          <w:rFonts w:ascii="Arial" w:hAnsi="Arial" w:cs="Arial"/>
          <w:sz w:val="20"/>
          <w:szCs w:val="20"/>
          <w:lang w:val="en-US"/>
        </w:rPr>
        <w:t xml:space="preserve"> do</w:t>
      </w:r>
      <w:r w:rsidR="00E9758A">
        <w:rPr>
          <w:rFonts w:ascii="Arial" w:hAnsi="Arial" w:cs="Arial"/>
          <w:sz w:val="20"/>
          <w:szCs w:val="20"/>
          <w:lang w:val="en-US"/>
        </w:rPr>
        <w:t>nner</w:t>
      </w:r>
      <w:r>
        <w:rPr>
          <w:rFonts w:ascii="Arial" w:hAnsi="Arial" w:cs="Arial"/>
          <w:sz w:val="20"/>
          <w:szCs w:val="20"/>
          <w:lang w:val="en-US"/>
        </w:rPr>
        <w:t xml:space="preserve"> à chaque aspect. De cette façon, les gagnants par catégorie sont </w:t>
      </w:r>
      <w:r w:rsidR="002F2AF6">
        <w:rPr>
          <w:rFonts w:ascii="Arial" w:hAnsi="Arial" w:cs="Arial"/>
          <w:sz w:val="20"/>
          <w:szCs w:val="20"/>
          <w:lang w:val="en-US"/>
        </w:rPr>
        <w:t>determiné</w:t>
      </w:r>
      <w:r>
        <w:rPr>
          <w:rFonts w:ascii="Arial" w:hAnsi="Arial" w:cs="Arial"/>
          <w:sz w:val="20"/>
          <w:szCs w:val="20"/>
          <w:lang w:val="en-US"/>
        </w:rPr>
        <w:t>s de façon honnête et fiable.</w:t>
      </w:r>
    </w:p>
    <w:p w14:paraId="36F4EDEB" w14:textId="77777777" w:rsidR="00252097" w:rsidRDefault="00252097" w:rsidP="00106B9F">
      <w:pPr>
        <w:spacing w:before="100" w:beforeAutospacing="1" w:after="100" w:afterAutospacing="1"/>
        <w:rPr>
          <w:rFonts w:ascii="Arial" w:hAnsi="Arial" w:cs="Arial"/>
          <w:b/>
          <w:color w:val="FF0000"/>
          <w:sz w:val="20"/>
          <w:szCs w:val="40"/>
          <w:lang w:val="en-US"/>
        </w:rPr>
      </w:pPr>
    </w:p>
    <w:p w14:paraId="6D58106F" w14:textId="77777777" w:rsidR="00252097" w:rsidRDefault="00252097" w:rsidP="00106B9F">
      <w:pPr>
        <w:spacing w:before="100" w:beforeAutospacing="1" w:after="100" w:afterAutospacing="1"/>
        <w:rPr>
          <w:rFonts w:ascii="Arial" w:hAnsi="Arial" w:cs="Arial"/>
          <w:b/>
          <w:color w:val="FF0000"/>
          <w:sz w:val="20"/>
          <w:szCs w:val="40"/>
          <w:lang w:val="en-US"/>
        </w:rPr>
      </w:pPr>
    </w:p>
    <w:p w14:paraId="667B57C6" w14:textId="77777777" w:rsidR="006B50F8" w:rsidRPr="008E5D92" w:rsidRDefault="006B50F8" w:rsidP="00106B9F">
      <w:pPr>
        <w:spacing w:before="100" w:beforeAutospacing="1" w:after="100" w:afterAutospacing="1"/>
        <w:rPr>
          <w:sz w:val="12"/>
          <w:lang w:val="fr-FR"/>
        </w:rPr>
      </w:pPr>
      <w:r w:rsidRPr="006B50F8">
        <w:rPr>
          <w:rFonts w:ascii="Arial" w:hAnsi="Arial" w:cs="Arial"/>
          <w:b/>
          <w:color w:val="FF0000"/>
          <w:sz w:val="20"/>
          <w:szCs w:val="40"/>
          <w:lang w:val="en-US"/>
        </w:rPr>
        <w:lastRenderedPageBreak/>
        <w:t xml:space="preserve">Yves Rocher </w:t>
      </w:r>
      <w:r w:rsidRPr="006B50F8">
        <w:rPr>
          <w:rFonts w:ascii="Arial" w:hAnsi="Arial" w:cs="Arial"/>
          <w:b/>
          <w:sz w:val="20"/>
          <w:szCs w:val="40"/>
          <w:lang w:val="en-US"/>
        </w:rPr>
        <w:t xml:space="preserve">est la Chaîne de </w:t>
      </w:r>
      <w:r w:rsidR="00F94C86">
        <w:rPr>
          <w:rFonts w:ascii="Arial" w:hAnsi="Arial" w:cs="Arial"/>
          <w:b/>
          <w:sz w:val="20"/>
          <w:szCs w:val="40"/>
          <w:lang w:val="en-US"/>
        </w:rPr>
        <w:t>Magasins</w:t>
      </w:r>
      <w:r w:rsidRPr="006B50F8">
        <w:rPr>
          <w:rFonts w:ascii="Arial" w:hAnsi="Arial" w:cs="Arial"/>
          <w:b/>
          <w:sz w:val="20"/>
          <w:szCs w:val="40"/>
          <w:lang w:val="en-US"/>
        </w:rPr>
        <w:t xml:space="preserve"> de l’Année </w:t>
      </w:r>
      <w:r w:rsidR="00E9758A">
        <w:rPr>
          <w:rFonts w:ascii="Arial" w:hAnsi="Arial" w:cs="Arial"/>
          <w:b/>
          <w:color w:val="FF0000"/>
          <w:sz w:val="20"/>
          <w:szCs w:val="40"/>
          <w:lang w:val="en-US"/>
        </w:rPr>
        <w:t>France</w:t>
      </w:r>
      <w:r>
        <w:rPr>
          <w:rFonts w:ascii="Arial" w:hAnsi="Arial" w:cs="Arial"/>
          <w:b/>
          <w:color w:val="FF0000"/>
          <w:sz w:val="20"/>
          <w:szCs w:val="40"/>
          <w:lang w:val="en-US"/>
        </w:rPr>
        <w:t xml:space="preserve"> </w:t>
      </w:r>
      <w:r w:rsidRPr="006B50F8">
        <w:rPr>
          <w:rFonts w:ascii="Arial" w:hAnsi="Arial" w:cs="Arial"/>
          <w:b/>
          <w:sz w:val="20"/>
          <w:szCs w:val="40"/>
          <w:lang w:val="en-US"/>
        </w:rPr>
        <w:t>2012</w:t>
      </w:r>
    </w:p>
    <w:p w14:paraId="24E34509" w14:textId="77777777" w:rsidR="006B50F8" w:rsidRPr="00106B9F" w:rsidRDefault="006B50F8" w:rsidP="00106B9F">
      <w:pPr>
        <w:spacing w:before="100" w:beforeAutospacing="1" w:after="100" w:afterAutospacing="1"/>
        <w:rPr>
          <w:lang w:val="fr-FR"/>
        </w:rPr>
      </w:pPr>
      <w:r>
        <w:rPr>
          <w:rFonts w:ascii="Arial" w:hAnsi="Arial" w:cs="Arial"/>
          <w:sz w:val="20"/>
          <w:szCs w:val="20"/>
          <w:lang w:val="en-US"/>
        </w:rPr>
        <w:t xml:space="preserve">Yves Rocher est choisi par les consommateurs Français comme le gagnant toutes </w:t>
      </w:r>
      <w:r w:rsidR="00F94C86">
        <w:rPr>
          <w:rFonts w:ascii="Arial" w:hAnsi="Arial" w:cs="Arial"/>
          <w:sz w:val="20"/>
          <w:szCs w:val="20"/>
          <w:lang w:val="en-US"/>
        </w:rPr>
        <w:t>caté</w:t>
      </w:r>
      <w:r>
        <w:rPr>
          <w:rFonts w:ascii="Arial" w:hAnsi="Arial" w:cs="Arial"/>
          <w:sz w:val="20"/>
          <w:szCs w:val="20"/>
          <w:lang w:val="en-US"/>
        </w:rPr>
        <w:t>gories de l’élection. L’an dernier, Lidl avait terminé premier et Yv</w:t>
      </w:r>
      <w:r w:rsidR="002F2AF6">
        <w:rPr>
          <w:rFonts w:ascii="Arial" w:hAnsi="Arial" w:cs="Arial"/>
          <w:sz w:val="20"/>
          <w:szCs w:val="20"/>
          <w:lang w:val="en-US"/>
        </w:rPr>
        <w:t>es Rocher 8e. Cette année, Lidl</w:t>
      </w:r>
      <w:r>
        <w:rPr>
          <w:rFonts w:ascii="Arial" w:hAnsi="Arial" w:cs="Arial"/>
          <w:sz w:val="20"/>
          <w:szCs w:val="20"/>
          <w:lang w:val="en-US"/>
        </w:rPr>
        <w:t xml:space="preserve"> est second, et Orchestra est </w:t>
      </w:r>
      <w:r w:rsidR="002F2AF6">
        <w:rPr>
          <w:rFonts w:ascii="Arial" w:hAnsi="Arial" w:cs="Arial"/>
          <w:sz w:val="20"/>
          <w:szCs w:val="20"/>
          <w:lang w:val="en-US"/>
        </w:rPr>
        <w:t>troisième</w:t>
      </w:r>
      <w:r>
        <w:rPr>
          <w:rFonts w:ascii="Arial" w:hAnsi="Arial" w:cs="Arial"/>
          <w:sz w:val="20"/>
          <w:szCs w:val="20"/>
          <w:lang w:val="en-US"/>
        </w:rPr>
        <w:t>. Yves Roche</w:t>
      </w:r>
      <w:r w:rsidR="002F2AF6"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 xml:space="preserve"> est numéro </w:t>
      </w:r>
      <w:r w:rsidR="002F2AF6">
        <w:rPr>
          <w:rFonts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  <w:lang w:val="en-US"/>
        </w:rPr>
        <w:t xml:space="preserve"> grâce a son score exceptionnel sur le</w:t>
      </w:r>
      <w:r w:rsidR="002F2AF6">
        <w:rPr>
          <w:rFonts w:ascii="Arial" w:hAnsi="Arial" w:cs="Arial"/>
          <w:sz w:val="20"/>
          <w:szCs w:val="20"/>
          <w:lang w:val="en-US"/>
        </w:rPr>
        <w:t>s aspects</w:t>
      </w:r>
      <w:r>
        <w:rPr>
          <w:rFonts w:ascii="Arial" w:hAnsi="Arial" w:cs="Arial"/>
          <w:sz w:val="20"/>
          <w:szCs w:val="20"/>
          <w:lang w:val="en-US"/>
        </w:rPr>
        <w:t xml:space="preserve"> Prix.</w:t>
      </w:r>
    </w:p>
    <w:p w14:paraId="3DDC38A5" w14:textId="77777777" w:rsidR="006B50F8" w:rsidRPr="00106B9F" w:rsidRDefault="006B50F8" w:rsidP="00106B9F">
      <w:pPr>
        <w:spacing w:before="100" w:beforeAutospacing="1" w:after="100" w:afterAutospacing="1"/>
        <w:rPr>
          <w:lang w:val="fr-FR"/>
        </w:rPr>
      </w:pPr>
      <w:r>
        <w:rPr>
          <w:rFonts w:ascii="Arial" w:hAnsi="Arial" w:cs="Arial"/>
          <w:b/>
          <w:sz w:val="20"/>
          <w:szCs w:val="20"/>
          <w:lang w:val="en-US"/>
        </w:rPr>
        <w:t>Vainqueurs par Catégorie</w:t>
      </w:r>
    </w:p>
    <w:p w14:paraId="4475EBA1" w14:textId="77777777" w:rsidR="00252097" w:rsidRDefault="006B50F8" w:rsidP="008E5D9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Cette </w:t>
      </w:r>
      <w:r w:rsidR="00E9758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année, les gagnants </w:t>
      </w:r>
      <w:r w:rsidR="00D10172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ont reçu leurs prix des mains de nos partenaires: Havas 360, Les Affranchis, Newim et Q&amp;A. </w:t>
      </w:r>
    </w:p>
    <w:p w14:paraId="7ADD6995" w14:textId="77777777" w:rsidR="00106B9F" w:rsidRDefault="00D10172" w:rsidP="008E5D9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Les Vainqueurs des </w:t>
      </w:r>
      <w:r w:rsidR="00E9758A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20</w:t>
      </w:r>
      <w:r w:rsidR="006B50F8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 xml:space="preserve"> </w:t>
      </w:r>
      <w:r w:rsidR="002F2AF6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caté</w:t>
      </w:r>
      <w:r w:rsidR="006B50F8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gories sont les suivant</w:t>
      </w:r>
      <w:r w:rsidR="008E5D92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s</w:t>
      </w:r>
      <w:r w:rsidR="00252097"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  <w:t>:</w:t>
      </w:r>
    </w:p>
    <w:p w14:paraId="1B288120" w14:textId="77777777" w:rsidR="00252097" w:rsidRDefault="00252097" w:rsidP="008E5D9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p w14:paraId="7BEE762C" w14:textId="77777777" w:rsidR="00252097" w:rsidRDefault="00252097" w:rsidP="008E5D9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p w14:paraId="0638761E" w14:textId="77777777" w:rsidR="00252097" w:rsidRDefault="00252097" w:rsidP="008E5D9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tbl>
      <w:tblPr>
        <w:tblpPr w:leftFromText="141" w:rightFromText="141" w:vertAnchor="page" w:horzAnchor="page" w:tblpX="2318" w:tblpY="508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331"/>
        <w:gridCol w:w="1597"/>
      </w:tblGrid>
      <w:tr w:rsidR="00252097" w14:paraId="49F1E4EC" w14:textId="77777777" w:rsidTr="0025209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80164" w14:textId="77777777" w:rsid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Catégorie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A1E6A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Enseigne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D8E1F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Note globale /10</w:t>
            </w:r>
          </w:p>
        </w:tc>
      </w:tr>
      <w:tr w:rsidR="00252097" w14:paraId="5FB80CA9" w14:textId="77777777" w:rsidTr="0025209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80B46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Agences de voyage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55897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Thomas Cook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482BB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6,15</w:t>
            </w:r>
          </w:p>
        </w:tc>
      </w:tr>
      <w:tr w:rsidR="00252097" w14:paraId="7BCCC9C5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A893C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Beauté et Parfumerie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F9479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Yves Rocher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F98FC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7,28</w:t>
            </w:r>
          </w:p>
        </w:tc>
      </w:tr>
      <w:tr w:rsidR="00252097" w14:paraId="2D303D17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57CAE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Bébé et enfant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D11A1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Orchestra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0F0D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7,19</w:t>
            </w:r>
          </w:p>
        </w:tc>
      </w:tr>
      <w:tr w:rsidR="00252097" w14:paraId="4D8F6028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46D41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Bricolage et Jardinage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01E8B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BRICO DÉPÔT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A2B9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6,90</w:t>
            </w:r>
          </w:p>
        </w:tc>
      </w:tr>
      <w:tr w:rsidR="00252097" w14:paraId="7ABB7606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8CD47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Chaussures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7E21B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La Halle aux chaussures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9D9F6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6,34</w:t>
            </w:r>
          </w:p>
        </w:tc>
      </w:tr>
      <w:tr w:rsidR="00252097" w14:paraId="148EE787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BC536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Hypermarchés et Supermarchés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95400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Lidl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8645B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7,25</w:t>
            </w:r>
          </w:p>
        </w:tc>
      </w:tr>
      <w:tr w:rsidR="00252097" w14:paraId="53C3C61C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4F23F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Joaillerie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E2A4F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Maty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A0739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6,44</w:t>
            </w:r>
          </w:p>
        </w:tc>
      </w:tr>
      <w:tr w:rsidR="00252097" w14:paraId="5EBAF8F1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4070D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Jouets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F4043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TOYS “R” 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10934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6,73</w:t>
            </w:r>
          </w:p>
        </w:tc>
      </w:tr>
      <w:tr w:rsidR="00252097" w14:paraId="0132A3BA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D196E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Lingerie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56FAC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Etam lingerie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9E3BC" w14:textId="77777777" w:rsidR="00252097" w:rsidRPr="00252097" w:rsidRDefault="00252097" w:rsidP="00252097">
            <w:pPr>
              <w:tabs>
                <w:tab w:val="left" w:pos="477"/>
              </w:tabs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6,86</w:t>
            </w:r>
          </w:p>
        </w:tc>
      </w:tr>
      <w:tr w:rsidR="00252097" w14:paraId="40100C91" w14:textId="77777777" w:rsidTr="00252097">
        <w:trPr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FD6CA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Livres, Culture et Jeux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AA0B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Fnac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B6936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6,58</w:t>
            </w:r>
          </w:p>
        </w:tc>
      </w:tr>
      <w:tr w:rsidR="00252097" w14:paraId="7CB0AA82" w14:textId="77777777" w:rsidTr="00252097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E93F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Maison et Décoration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6F62C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IKEA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EB91E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7,01</w:t>
            </w:r>
          </w:p>
        </w:tc>
      </w:tr>
      <w:tr w:rsidR="00252097" w14:paraId="2674D8F0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A2BBF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Mode et Accessoires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D153A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Claire's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3FEA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6,13</w:t>
            </w:r>
          </w:p>
        </w:tc>
      </w:tr>
      <w:tr w:rsidR="00252097" w14:paraId="59220E57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33C5C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Multimédia et Electroménager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F9912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Darty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026ED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6,24</w:t>
            </w:r>
          </w:p>
        </w:tc>
      </w:tr>
      <w:tr w:rsidR="00252097" w14:paraId="60BB6EE1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CFAF2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Opticien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D97F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Générale d'Optique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D732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6,51</w:t>
            </w:r>
          </w:p>
        </w:tc>
      </w:tr>
      <w:tr w:rsidR="00252097" w14:paraId="10B45439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A627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Restauration à emporter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7D5AC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Quick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0778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5,69</w:t>
            </w:r>
          </w:p>
        </w:tc>
      </w:tr>
      <w:tr w:rsidR="00252097" w14:paraId="4B6050EA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FC913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Sandwicherie et Croissanterie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1CADA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La Brioche dorée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C4DE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6,52</w:t>
            </w:r>
          </w:p>
        </w:tc>
      </w:tr>
      <w:tr w:rsidR="00252097" w14:paraId="26164700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CF9CC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7EA51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DECATHLON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4EBC9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6,98</w:t>
            </w:r>
          </w:p>
        </w:tc>
      </w:tr>
      <w:tr w:rsidR="00252097" w14:paraId="6C0E4348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EA1B1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Téléphonie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DE336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Bouygues Telecom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25546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5,77</w:t>
            </w:r>
          </w:p>
        </w:tc>
      </w:tr>
      <w:tr w:rsidR="00252097" w14:paraId="7058F708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80DB9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Vêtements femme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37A0D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MS Mode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E2AB4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7,14</w:t>
            </w:r>
          </w:p>
        </w:tc>
      </w:tr>
      <w:tr w:rsidR="00252097" w14:paraId="7C8CC10C" w14:textId="77777777" w:rsidTr="002520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9DE3A" w14:textId="77777777" w:rsidR="00252097" w:rsidRDefault="00252097" w:rsidP="00252097">
            <w:pPr>
              <w:spacing w:before="100" w:beforeAutospacing="1"/>
              <w:rPr>
                <w:lang w:val="nl-NL" w:eastAsia="en-US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NL"/>
              </w:rPr>
              <w:t>Vêtements homme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F1556" w14:textId="77777777" w:rsidR="00252097" w:rsidRPr="00252097" w:rsidRDefault="00252097" w:rsidP="00252097">
            <w:pPr>
              <w:spacing w:before="100" w:beforeAutospacing="1"/>
              <w:rPr>
                <w:color w:val="000090"/>
                <w:lang w:val="nl-NL" w:eastAsia="en-US"/>
              </w:rPr>
            </w:pPr>
            <w:r w:rsidRPr="00252097">
              <w:rPr>
                <w:rFonts w:ascii="Arial" w:eastAsia="Times New Roman" w:hAnsi="Arial" w:cs="Arial"/>
                <w:color w:val="000090"/>
                <w:sz w:val="20"/>
                <w:szCs w:val="20"/>
                <w:lang w:val="nl-NL" w:eastAsia="nl-NL"/>
              </w:rPr>
              <w:t>Kiabi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25BE9" w14:textId="77777777" w:rsidR="00252097" w:rsidRPr="00252097" w:rsidRDefault="00252097" w:rsidP="00252097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</w:pPr>
            <w:r w:rsidRPr="00252097">
              <w:rPr>
                <w:rFonts w:ascii="Arial" w:eastAsia="Times New Roman" w:hAnsi="Arial" w:cs="Arial"/>
                <w:color w:val="008000"/>
                <w:sz w:val="20"/>
                <w:szCs w:val="20"/>
                <w:lang w:val="nl-NL" w:eastAsia="nl-NL"/>
              </w:rPr>
              <w:t>6,48</w:t>
            </w:r>
          </w:p>
        </w:tc>
      </w:tr>
    </w:tbl>
    <w:p w14:paraId="3ED6ED89" w14:textId="77777777" w:rsidR="00252097" w:rsidRDefault="00252097" w:rsidP="008E5D92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val="en-US" w:eastAsia="nl-NL"/>
        </w:rPr>
      </w:pPr>
    </w:p>
    <w:p w14:paraId="56636421" w14:textId="77777777" w:rsidR="00252097" w:rsidRPr="008E5D92" w:rsidRDefault="00252097" w:rsidP="008E5D92">
      <w:pPr>
        <w:spacing w:before="100" w:beforeAutospacing="1" w:after="100" w:afterAutospacing="1"/>
        <w:rPr>
          <w:lang w:val="fr-FR"/>
        </w:rPr>
        <w:sectPr w:rsidR="00252097" w:rsidRPr="008E5D92">
          <w:pgSz w:w="12240" w:h="15840"/>
          <w:pgMar w:top="1417" w:right="1701" w:bottom="1417" w:left="1701" w:header="720" w:footer="720" w:gutter="0"/>
          <w:cols w:space="720"/>
        </w:sectPr>
      </w:pPr>
    </w:p>
    <w:p w14:paraId="3E052B24" w14:textId="77777777" w:rsidR="0004327F" w:rsidRPr="00106B9F" w:rsidRDefault="0004327F" w:rsidP="00106B9F">
      <w:pPr>
        <w:spacing w:before="100" w:beforeAutospacing="1" w:after="100" w:afterAutospacing="1"/>
        <w:rPr>
          <w:lang w:val="fr-FR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Les aspects Prix ont le plus d’influence.</w:t>
      </w:r>
    </w:p>
    <w:p w14:paraId="6754E628" w14:textId="77777777" w:rsidR="0004327F" w:rsidRPr="00106B9F" w:rsidRDefault="00252097" w:rsidP="00106B9F">
      <w:pPr>
        <w:spacing w:before="100" w:beforeAutospacing="1" w:after="100" w:afterAutospacing="1"/>
        <w:rPr>
          <w:lang w:val="fr-FR"/>
        </w:rPr>
      </w:pPr>
      <w:r>
        <w:rPr>
          <w:rFonts w:ascii="Arial" w:hAnsi="Arial" w:cs="Arial"/>
          <w:sz w:val="20"/>
          <w:szCs w:val="20"/>
          <w:lang w:val="en-US"/>
        </w:rPr>
        <w:t>Les résultats de la recherche</w:t>
      </w:r>
      <w:r w:rsidR="0004327F">
        <w:rPr>
          <w:rFonts w:ascii="Arial" w:hAnsi="Arial" w:cs="Arial"/>
          <w:sz w:val="20"/>
          <w:szCs w:val="20"/>
          <w:lang w:val="en-US"/>
        </w:rPr>
        <w:t xml:space="preserve"> menée par Q&amp;A Research &amp; Consultancy, montrent que les aspect Prix (Rapport Qualité/Prix, Niveau de Prix, Promotions et Offres) </w:t>
      </w:r>
      <w:r w:rsidR="002F2AF6">
        <w:rPr>
          <w:rFonts w:ascii="Arial" w:hAnsi="Arial" w:cs="Arial"/>
          <w:sz w:val="20"/>
          <w:szCs w:val="20"/>
          <w:lang w:val="en-US"/>
        </w:rPr>
        <w:t>determine</w:t>
      </w:r>
      <w:r w:rsidR="0004327F">
        <w:rPr>
          <w:rFonts w:ascii="Arial" w:hAnsi="Arial" w:cs="Arial"/>
          <w:sz w:val="20"/>
          <w:szCs w:val="20"/>
          <w:lang w:val="en-US"/>
        </w:rPr>
        <w:t xml:space="preserve">nt la performance à 60%. Ceci représente une </w:t>
      </w:r>
      <w:r w:rsidR="002F2AF6">
        <w:rPr>
          <w:rFonts w:ascii="Arial" w:hAnsi="Arial" w:cs="Arial"/>
          <w:sz w:val="20"/>
          <w:szCs w:val="20"/>
          <w:lang w:val="en-US"/>
        </w:rPr>
        <w:t>légère</w:t>
      </w:r>
      <w:r w:rsidR="0004327F">
        <w:rPr>
          <w:rFonts w:ascii="Arial" w:hAnsi="Arial" w:cs="Arial"/>
          <w:sz w:val="20"/>
          <w:szCs w:val="20"/>
          <w:lang w:val="en-US"/>
        </w:rPr>
        <w:t xml:space="preserve"> baisse de 1%. Alors que le score moyen a diminué, la note moyenne concernant </w:t>
      </w:r>
      <w:r w:rsidR="0004327F" w:rsidRPr="002F2AF6">
        <w:rPr>
          <w:rFonts w:ascii="Arial" w:hAnsi="Arial" w:cs="Arial"/>
          <w:color w:val="FF0000"/>
          <w:sz w:val="20"/>
          <w:szCs w:val="20"/>
          <w:lang w:val="en-US"/>
        </w:rPr>
        <w:t xml:space="preserve">l’Amabilité envers le Client </w:t>
      </w:r>
      <w:r w:rsidR="0004327F">
        <w:rPr>
          <w:rFonts w:ascii="Arial" w:hAnsi="Arial" w:cs="Arial"/>
          <w:sz w:val="20"/>
          <w:szCs w:val="20"/>
          <w:lang w:val="en-US"/>
        </w:rPr>
        <w:t xml:space="preserve">a augmenté. La note moyenne sur cet aspect est de </w:t>
      </w:r>
      <w:r w:rsidR="0004327F" w:rsidRPr="002F2AF6">
        <w:rPr>
          <w:rFonts w:ascii="Arial" w:hAnsi="Arial" w:cs="Arial"/>
          <w:color w:val="FF0000"/>
          <w:sz w:val="20"/>
          <w:szCs w:val="20"/>
          <w:lang w:val="en-US"/>
        </w:rPr>
        <w:t>7.06</w:t>
      </w:r>
      <w:r w:rsidR="0004327F">
        <w:rPr>
          <w:rFonts w:ascii="Arial" w:hAnsi="Arial" w:cs="Arial"/>
          <w:sz w:val="20"/>
          <w:szCs w:val="20"/>
          <w:lang w:val="en-US"/>
        </w:rPr>
        <w:t xml:space="preserve">. Les aspects service obtiennent une meilleure note </w:t>
      </w:r>
      <w:r w:rsidR="002F2AF6">
        <w:rPr>
          <w:rFonts w:ascii="Arial" w:hAnsi="Arial" w:cs="Arial"/>
          <w:sz w:val="20"/>
          <w:szCs w:val="20"/>
          <w:lang w:val="en-US"/>
        </w:rPr>
        <w:t xml:space="preserve">par rapport à </w:t>
      </w:r>
      <w:r w:rsidR="0004327F">
        <w:rPr>
          <w:rFonts w:ascii="Arial" w:hAnsi="Arial" w:cs="Arial"/>
          <w:sz w:val="20"/>
          <w:szCs w:val="20"/>
          <w:lang w:val="en-US"/>
        </w:rPr>
        <w:t>l’an dernier.</w:t>
      </w:r>
    </w:p>
    <w:p w14:paraId="3F0E83D1" w14:textId="77777777" w:rsidR="00106B9F" w:rsidRPr="00106B9F" w:rsidRDefault="00106B9F" w:rsidP="00106B9F">
      <w:pPr>
        <w:spacing w:before="100" w:beforeAutospacing="1" w:after="100" w:afterAutospacing="1"/>
        <w:rPr>
          <w:lang w:val="fr-FR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Structure </w:t>
      </w:r>
      <w:r w:rsidR="002F2AF6">
        <w:rPr>
          <w:rFonts w:ascii="Arial" w:hAnsi="Arial" w:cs="Arial"/>
          <w:b/>
          <w:sz w:val="20"/>
          <w:szCs w:val="20"/>
          <w:lang w:val="en-US"/>
        </w:rPr>
        <w:t>de l’étude</w:t>
      </w:r>
    </w:p>
    <w:p w14:paraId="2AE3C95C" w14:textId="77777777" w:rsidR="008E5D92" w:rsidRDefault="00F94C86" w:rsidP="008E5D92">
      <w:p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Les évaluations </w:t>
      </w:r>
      <w:r w:rsidR="00E9758A">
        <w:rPr>
          <w:rFonts w:ascii="Arial" w:hAnsi="Arial" w:cs="Arial"/>
          <w:sz w:val="20"/>
          <w:szCs w:val="20"/>
          <w:lang w:val="en-US"/>
        </w:rPr>
        <w:t xml:space="preserve">des consommateurs </w:t>
      </w:r>
      <w:r>
        <w:rPr>
          <w:rFonts w:ascii="Arial" w:hAnsi="Arial" w:cs="Arial"/>
          <w:sz w:val="20"/>
          <w:szCs w:val="20"/>
          <w:lang w:val="en-US"/>
        </w:rPr>
        <w:t xml:space="preserve">sont </w:t>
      </w:r>
      <w:r w:rsidR="00E9758A">
        <w:rPr>
          <w:rFonts w:ascii="Arial" w:hAnsi="Arial" w:cs="Arial"/>
          <w:sz w:val="20"/>
          <w:szCs w:val="20"/>
          <w:lang w:val="en-US"/>
        </w:rPr>
        <w:t>transmises</w:t>
      </w:r>
      <w:r>
        <w:rPr>
          <w:rFonts w:ascii="Arial" w:hAnsi="Arial" w:cs="Arial"/>
          <w:sz w:val="20"/>
          <w:szCs w:val="20"/>
          <w:lang w:val="en-US"/>
        </w:rPr>
        <w:t xml:space="preserve"> sur le site internet </w:t>
      </w:r>
      <w:hyperlink r:id="rId5" w:history="1">
        <w:r w:rsidR="00E9758A" w:rsidRPr="0002470F">
          <w:rPr>
            <w:rStyle w:val="Lienhypertexte"/>
            <w:rFonts w:ascii="Arial" w:hAnsi="Arial" w:cs="Arial"/>
            <w:sz w:val="20"/>
            <w:szCs w:val="20"/>
            <w:lang w:val="en-US"/>
          </w:rPr>
          <w:t>www.meilleurechainedemagasins.fr</w:t>
        </w:r>
      </w:hyperlink>
      <w:r w:rsidR="00E9758A">
        <w:rPr>
          <w:rFonts w:ascii="Arial" w:hAnsi="Arial" w:cs="Arial"/>
          <w:sz w:val="20"/>
          <w:szCs w:val="20"/>
          <w:lang w:val="en-US"/>
        </w:rPr>
        <w:t xml:space="preserve">. Durant trois </w:t>
      </w:r>
      <w:r>
        <w:rPr>
          <w:rFonts w:ascii="Arial" w:hAnsi="Arial" w:cs="Arial"/>
          <w:sz w:val="20"/>
          <w:szCs w:val="20"/>
          <w:lang w:val="en-US"/>
        </w:rPr>
        <w:t>mois, les retailers ont demandé aux consommateurs de participer à l’élection par l’usage de newsletters, banners sur le</w:t>
      </w:r>
      <w:r w:rsidR="00661F3F">
        <w:rPr>
          <w:rFonts w:ascii="Arial" w:hAnsi="Arial" w:cs="Arial"/>
          <w:sz w:val="20"/>
          <w:szCs w:val="20"/>
          <w:lang w:val="en-US"/>
        </w:rPr>
        <w:t>ur site internet, et sur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9758A">
        <w:rPr>
          <w:rFonts w:ascii="Arial" w:hAnsi="Arial" w:cs="Arial"/>
          <w:sz w:val="20"/>
          <w:szCs w:val="20"/>
          <w:lang w:val="en-US"/>
        </w:rPr>
        <w:t xml:space="preserve">divers supports </w:t>
      </w:r>
      <w:r>
        <w:rPr>
          <w:rFonts w:ascii="Arial" w:hAnsi="Arial" w:cs="Arial"/>
          <w:sz w:val="20"/>
          <w:szCs w:val="20"/>
          <w:lang w:val="en-US"/>
        </w:rPr>
        <w:t xml:space="preserve">en magasin. En plus d’évaluer leur </w:t>
      </w:r>
      <w:r w:rsidR="00E9758A">
        <w:rPr>
          <w:rFonts w:ascii="Arial" w:hAnsi="Arial" w:cs="Arial"/>
          <w:sz w:val="20"/>
          <w:szCs w:val="20"/>
          <w:lang w:val="en-US"/>
        </w:rPr>
        <w:t>chai</w:t>
      </w:r>
      <w:r w:rsidR="005F7967">
        <w:rPr>
          <w:rFonts w:ascii="Arial" w:hAnsi="Arial" w:cs="Arial"/>
          <w:sz w:val="20"/>
          <w:szCs w:val="20"/>
          <w:lang w:val="en-US"/>
        </w:rPr>
        <w:t>ne de magasins favorite</w:t>
      </w:r>
      <w:r>
        <w:rPr>
          <w:rFonts w:ascii="Arial" w:hAnsi="Arial" w:cs="Arial"/>
          <w:sz w:val="20"/>
          <w:szCs w:val="20"/>
          <w:lang w:val="en-US"/>
        </w:rPr>
        <w:t xml:space="preserve">, les </w:t>
      </w:r>
      <w:r w:rsidR="005F7967">
        <w:rPr>
          <w:rFonts w:ascii="Arial" w:hAnsi="Arial" w:cs="Arial"/>
          <w:sz w:val="20"/>
          <w:szCs w:val="20"/>
          <w:lang w:val="en-US"/>
        </w:rPr>
        <w:t>consommateurs ava</w:t>
      </w:r>
      <w:r w:rsidR="00E9758A">
        <w:rPr>
          <w:rFonts w:ascii="Arial" w:hAnsi="Arial" w:cs="Arial"/>
          <w:sz w:val="20"/>
          <w:szCs w:val="20"/>
          <w:lang w:val="en-US"/>
        </w:rPr>
        <w:t>ient la possibilité d’évaluer deux autres enseignes dans la mê</w:t>
      </w:r>
      <w:r w:rsidR="005F7967">
        <w:rPr>
          <w:rFonts w:ascii="Arial" w:hAnsi="Arial" w:cs="Arial"/>
          <w:sz w:val="20"/>
          <w:szCs w:val="20"/>
          <w:lang w:val="en-US"/>
        </w:rPr>
        <w:t xml:space="preserve">me catégorie </w:t>
      </w:r>
      <w:r w:rsidR="002F2AF6">
        <w:rPr>
          <w:rFonts w:ascii="Arial" w:hAnsi="Arial" w:cs="Arial"/>
          <w:sz w:val="20"/>
          <w:szCs w:val="20"/>
          <w:lang w:val="en-US"/>
        </w:rPr>
        <w:t>ou dans une catégorie différente</w:t>
      </w:r>
      <w:r w:rsidR="00E9758A">
        <w:rPr>
          <w:rFonts w:ascii="Arial" w:hAnsi="Arial" w:cs="Arial"/>
          <w:sz w:val="20"/>
          <w:szCs w:val="20"/>
          <w:lang w:val="en-US"/>
        </w:rPr>
        <w:t xml:space="preserve"> sur les neuf différents critères</w:t>
      </w:r>
      <w:r w:rsidR="002F2AF6">
        <w:rPr>
          <w:rFonts w:ascii="Arial" w:hAnsi="Arial" w:cs="Arial"/>
          <w:sz w:val="20"/>
          <w:szCs w:val="20"/>
          <w:lang w:val="en-US"/>
        </w:rPr>
        <w:t xml:space="preserve">. </w:t>
      </w:r>
      <w:r w:rsidR="00E9758A">
        <w:rPr>
          <w:rFonts w:ascii="Arial" w:hAnsi="Arial" w:cs="Arial"/>
          <w:sz w:val="20"/>
          <w:szCs w:val="20"/>
          <w:lang w:val="en-US"/>
        </w:rPr>
        <w:t>Au préalable un échantillon représentatif est selectionné dans un panel pour détreminer l’importance des différents critères, pour chacune des catégories</w:t>
      </w:r>
      <w:r w:rsidR="002F2AF6">
        <w:rPr>
          <w:rFonts w:ascii="Arial" w:hAnsi="Arial" w:cs="Arial"/>
          <w:sz w:val="20"/>
          <w:szCs w:val="20"/>
          <w:lang w:val="en-US"/>
        </w:rPr>
        <w:t>.</w:t>
      </w:r>
    </w:p>
    <w:p w14:paraId="7FB09F7E" w14:textId="77777777" w:rsidR="00E61C2D" w:rsidRDefault="00E9758A" w:rsidP="008E5D92">
      <w:pPr>
        <w:spacing w:before="100" w:beforeAutospacing="1" w:after="100" w:afterAutospacing="1" w:line="260" w:lineRule="atLeas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Contact:</w:t>
      </w:r>
    </w:p>
    <w:p w14:paraId="35E39325" w14:textId="77777777" w:rsidR="00E9758A" w:rsidRDefault="00E9758A">
      <w:pPr>
        <w:rPr>
          <w:rFonts w:ascii="Arial" w:hAnsi="Arial" w:cs="Arial"/>
          <w:sz w:val="20"/>
          <w:szCs w:val="20"/>
          <w:lang w:val="en-US"/>
        </w:rPr>
      </w:pPr>
    </w:p>
    <w:p w14:paraId="7690BB58" w14:textId="77777777" w:rsidR="00E9758A" w:rsidRDefault="00E9758A" w:rsidP="00E9758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  <w:sectPr w:rsidR="00E9758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970150F" w14:textId="77777777" w:rsidR="00E9758A" w:rsidRDefault="00E9758A" w:rsidP="00E9758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  <w:r>
        <w:rPr>
          <w:rFonts w:ascii="Arial" w:hAnsi="Arial" w:cs="Arial"/>
          <w:noProof/>
          <w:lang w:val="fr-FR" w:eastAsia="fr-FR"/>
        </w:rPr>
        <w:lastRenderedPageBreak/>
        <w:drawing>
          <wp:inline distT="0" distB="0" distL="0" distR="0" wp14:anchorId="43BF2EC1" wp14:editId="187173DD">
            <wp:extent cx="228600" cy="3397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49E1D" w14:textId="77777777" w:rsidR="00E9758A" w:rsidRDefault="00D10172" w:rsidP="00E9758A">
      <w:pPr>
        <w:widowControl w:val="0"/>
        <w:autoSpaceDE w:val="0"/>
        <w:autoSpaceDN w:val="0"/>
        <w:adjustRightInd w:val="0"/>
        <w:rPr>
          <w:rFonts w:ascii="Arial" w:hAnsi="Arial" w:cs="Arial"/>
          <w:lang w:val="fr-FR" w:eastAsia="en-US"/>
        </w:rPr>
      </w:pPr>
      <w:r>
        <w:rPr>
          <w:rFonts w:ascii="Arial" w:hAnsi="Arial" w:cs="Arial"/>
          <w:lang w:val="fr-FR" w:eastAsia="en-US"/>
        </w:rPr>
        <w:t> </w:t>
      </w:r>
    </w:p>
    <w:p w14:paraId="1C92AB2F" w14:textId="77777777" w:rsidR="00E9758A" w:rsidRPr="00E9758A" w:rsidRDefault="00E9758A" w:rsidP="00E9758A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  <w:szCs w:val="18"/>
          <w:lang w:val="fr-FR" w:eastAsia="en-US"/>
        </w:rPr>
      </w:pPr>
      <w:r w:rsidRPr="00E9758A">
        <w:rPr>
          <w:rFonts w:ascii="Arial" w:hAnsi="Arial" w:cs="Arial"/>
          <w:sz w:val="14"/>
          <w:szCs w:val="18"/>
          <w:lang w:val="fr-FR" w:eastAsia="en-US"/>
        </w:rPr>
        <w:t xml:space="preserve">Eric </w:t>
      </w:r>
      <w:proofErr w:type="spellStart"/>
      <w:r w:rsidRPr="00E9758A">
        <w:rPr>
          <w:rFonts w:ascii="Arial" w:hAnsi="Arial" w:cs="Arial"/>
          <w:sz w:val="14"/>
          <w:szCs w:val="18"/>
          <w:lang w:val="fr-FR" w:eastAsia="en-US"/>
        </w:rPr>
        <w:t>Merkes</w:t>
      </w:r>
      <w:proofErr w:type="spellEnd"/>
    </w:p>
    <w:p w14:paraId="41BDEC16" w14:textId="77777777" w:rsidR="00E9758A" w:rsidRDefault="00310C00" w:rsidP="00E975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18"/>
          <w:lang w:val="fr-FR" w:eastAsia="en-US"/>
        </w:rPr>
      </w:pPr>
      <w:hyperlink r:id="rId7" w:history="1">
        <w:r w:rsidR="00661F3F">
          <w:rPr>
            <w:rFonts w:ascii="Arial" w:hAnsi="Arial" w:cs="Arial"/>
            <w:b/>
            <w:bCs/>
            <w:color w:val="0020E3"/>
            <w:sz w:val="12"/>
            <w:szCs w:val="18"/>
            <w:lang w:val="fr-FR" w:eastAsia="en-US"/>
          </w:rPr>
          <w:t>merkes@meilleurechainedemagasins.com</w:t>
        </w:r>
      </w:hyperlink>
    </w:p>
    <w:p w14:paraId="2E16E2CF" w14:textId="77777777" w:rsidR="00E9758A" w:rsidRDefault="00E9758A" w:rsidP="00E975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18"/>
          <w:lang w:val="fr-FR" w:eastAsia="en-US"/>
        </w:rPr>
      </w:pPr>
    </w:p>
    <w:p w14:paraId="3F07D85F" w14:textId="77777777" w:rsidR="00E9758A" w:rsidRPr="00E9758A" w:rsidRDefault="00E9758A" w:rsidP="00E975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2"/>
          <w:szCs w:val="18"/>
          <w:lang w:val="fr-FR" w:eastAsia="en-US"/>
        </w:rPr>
      </w:pPr>
    </w:p>
    <w:p w14:paraId="2B047EB1" w14:textId="77777777" w:rsidR="00E9758A" w:rsidRPr="00E9758A" w:rsidRDefault="00310C00" w:rsidP="00E9758A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8"/>
          <w:lang w:val="fr-FR" w:eastAsia="en-US"/>
        </w:rPr>
      </w:pPr>
      <w:hyperlink r:id="rId8" w:history="1">
        <w:r w:rsidR="00E9758A" w:rsidRPr="00E9758A">
          <w:rPr>
            <w:rFonts w:ascii="Times" w:hAnsi="Times" w:cs="Times"/>
            <w:color w:val="0020E3"/>
            <w:sz w:val="12"/>
            <w:szCs w:val="18"/>
            <w:u w:val="single" w:color="0020E3"/>
            <w:lang w:val="fr-FR" w:eastAsia="en-US"/>
          </w:rPr>
          <w:t>http://www.meilleurechainedemagasins.fr/</w:t>
        </w:r>
      </w:hyperlink>
    </w:p>
    <w:p w14:paraId="667D1F65" w14:textId="77777777" w:rsidR="00E9758A" w:rsidRDefault="00E9758A" w:rsidP="00E9758A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12"/>
          <w:szCs w:val="18"/>
          <w:lang w:val="fr-FR" w:eastAsia="en-US"/>
        </w:rPr>
      </w:pPr>
      <w:r>
        <w:rPr>
          <w:rFonts w:ascii="Times" w:hAnsi="Times" w:cs="Times"/>
          <w:sz w:val="12"/>
          <w:szCs w:val="18"/>
          <w:lang w:val="fr-FR" w:eastAsia="en-US"/>
        </w:rPr>
        <w:t> </w:t>
      </w:r>
      <w:r w:rsidRPr="00E9758A">
        <w:rPr>
          <w:rFonts w:ascii="Times" w:hAnsi="Times" w:cs="Times"/>
          <w:sz w:val="12"/>
          <w:szCs w:val="18"/>
          <w:lang w:val="fr-FR" w:eastAsia="en-US"/>
        </w:rPr>
        <w:t> </w:t>
      </w:r>
    </w:p>
    <w:p w14:paraId="692A5063" w14:textId="77777777" w:rsidR="00E9758A" w:rsidRPr="00E9758A" w:rsidRDefault="00E9758A" w:rsidP="00E9758A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8"/>
          <w:lang w:val="fr-FR" w:eastAsia="en-US"/>
        </w:rPr>
      </w:pPr>
      <w:r w:rsidRPr="00E9758A">
        <w:rPr>
          <w:rFonts w:ascii="Times" w:hAnsi="Times" w:cs="Times"/>
          <w:sz w:val="12"/>
          <w:szCs w:val="18"/>
          <w:lang w:val="fr-FR" w:eastAsia="en-US"/>
        </w:rPr>
        <w:t>Tel+34 65 888 3662   </w:t>
      </w:r>
    </w:p>
    <w:p w14:paraId="175AD8FC" w14:textId="77777777" w:rsidR="00E9758A" w:rsidRPr="00E9758A" w:rsidRDefault="00E9758A" w:rsidP="00E9758A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12"/>
          <w:szCs w:val="18"/>
          <w:lang w:val="fr-FR" w:eastAsia="en-US"/>
        </w:rPr>
      </w:pPr>
      <w:r>
        <w:rPr>
          <w:rFonts w:ascii="Helvetica" w:hAnsi="Helvetica" w:cs="Helvetica"/>
          <w:sz w:val="12"/>
          <w:szCs w:val="18"/>
          <w:lang w:val="fr-FR" w:eastAsia="en-US"/>
        </w:rPr>
        <w:t> </w:t>
      </w:r>
      <w:r w:rsidRPr="00E9758A">
        <w:rPr>
          <w:rFonts w:ascii="Helvetica" w:hAnsi="Helvetica" w:cs="Helvetica"/>
          <w:sz w:val="12"/>
          <w:szCs w:val="18"/>
          <w:lang w:val="fr-FR" w:eastAsia="en-US"/>
        </w:rPr>
        <w:t xml:space="preserve">C/ </w:t>
      </w:r>
      <w:proofErr w:type="spellStart"/>
      <w:r w:rsidRPr="00E9758A">
        <w:rPr>
          <w:rFonts w:ascii="Helvetica" w:hAnsi="Helvetica" w:cs="Helvetica"/>
          <w:sz w:val="12"/>
          <w:szCs w:val="18"/>
          <w:lang w:val="fr-FR" w:eastAsia="en-US"/>
        </w:rPr>
        <w:t>Castella</w:t>
      </w:r>
      <w:proofErr w:type="spellEnd"/>
      <w:r w:rsidRPr="00E9758A">
        <w:rPr>
          <w:rFonts w:ascii="Helvetica" w:hAnsi="Helvetica" w:cs="Helvetica"/>
          <w:sz w:val="12"/>
          <w:szCs w:val="18"/>
          <w:lang w:val="fr-FR" w:eastAsia="en-US"/>
        </w:rPr>
        <w:t xml:space="preserve"> 40, local 1</w:t>
      </w:r>
    </w:p>
    <w:p w14:paraId="1342E80F" w14:textId="77777777" w:rsidR="00E9758A" w:rsidRPr="00E9758A" w:rsidRDefault="00E9758A" w:rsidP="00E9758A">
      <w:pPr>
        <w:widowControl w:val="0"/>
        <w:autoSpaceDE w:val="0"/>
        <w:autoSpaceDN w:val="0"/>
        <w:adjustRightInd w:val="0"/>
        <w:rPr>
          <w:rFonts w:ascii="Times" w:hAnsi="Times" w:cs="Times"/>
          <w:sz w:val="12"/>
          <w:szCs w:val="18"/>
          <w:lang w:val="fr-FR" w:eastAsia="en-US"/>
        </w:rPr>
        <w:sectPr w:rsidR="00E9758A" w:rsidRPr="00E9758A" w:rsidSect="00661F3F">
          <w:type w:val="continuous"/>
          <w:pgSz w:w="11906" w:h="16838"/>
          <w:pgMar w:top="1417" w:right="1701" w:bottom="851" w:left="1701" w:header="708" w:footer="708" w:gutter="0"/>
          <w:cols w:num="2" w:space="708"/>
          <w:docGrid w:linePitch="360"/>
        </w:sectPr>
      </w:pPr>
      <w:r>
        <w:rPr>
          <w:rFonts w:ascii="Helvetica" w:hAnsi="Helvetica" w:cs="Helvetica"/>
          <w:sz w:val="12"/>
          <w:szCs w:val="18"/>
          <w:lang w:val="fr-FR" w:eastAsia="en-US"/>
        </w:rPr>
        <w:t> </w:t>
      </w:r>
      <w:r w:rsidRPr="00E9758A">
        <w:rPr>
          <w:rFonts w:ascii="Helvetica" w:hAnsi="Helvetica" w:cs="Helvetica"/>
          <w:sz w:val="12"/>
          <w:szCs w:val="18"/>
          <w:lang w:val="fr-FR" w:eastAsia="en-US"/>
        </w:rPr>
        <w:t>08018</w:t>
      </w:r>
      <w:r>
        <w:rPr>
          <w:rFonts w:ascii="Helvetica" w:hAnsi="Helvetica" w:cs="Helvetica"/>
          <w:sz w:val="12"/>
          <w:szCs w:val="18"/>
          <w:lang w:val="fr-FR" w:eastAsia="en-US"/>
        </w:rPr>
        <w:t xml:space="preserve"> </w:t>
      </w:r>
      <w:r w:rsidRPr="00E9758A">
        <w:rPr>
          <w:rFonts w:ascii="Helvetica" w:hAnsi="Helvetica" w:cs="Helvetica"/>
          <w:sz w:val="12"/>
          <w:szCs w:val="18"/>
          <w:lang w:val="fr-FR" w:eastAsia="en-US"/>
        </w:rPr>
        <w:t>Barcelona</w:t>
      </w:r>
      <w:r>
        <w:rPr>
          <w:rFonts w:ascii="Helvetica" w:hAnsi="Helvetica" w:cs="Helvetica"/>
          <w:sz w:val="12"/>
          <w:szCs w:val="18"/>
          <w:lang w:val="fr-FR" w:eastAsia="en-US"/>
        </w:rPr>
        <w:t xml:space="preserve"> Spai</w:t>
      </w:r>
      <w:r w:rsidR="00C463A1">
        <w:rPr>
          <w:rFonts w:ascii="Helvetica" w:hAnsi="Helvetica" w:cs="Helvetica"/>
          <w:sz w:val="12"/>
          <w:szCs w:val="18"/>
          <w:lang w:val="fr-FR" w:eastAsia="en-US"/>
        </w:rPr>
        <w:t>n</w:t>
      </w:r>
    </w:p>
    <w:p w14:paraId="08CD36E2" w14:textId="77777777" w:rsidR="00E9758A" w:rsidRPr="00106B9F" w:rsidRDefault="00E9758A">
      <w:pPr>
        <w:rPr>
          <w:lang w:val="fr-FR"/>
        </w:rPr>
      </w:pPr>
    </w:p>
    <w:sectPr w:rsidR="00E9758A" w:rsidRPr="00106B9F" w:rsidSect="00E9758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9F"/>
    <w:rsid w:val="0004327F"/>
    <w:rsid w:val="00106B9F"/>
    <w:rsid w:val="00252097"/>
    <w:rsid w:val="00297B20"/>
    <w:rsid w:val="002F2AF6"/>
    <w:rsid w:val="00310C00"/>
    <w:rsid w:val="005F7967"/>
    <w:rsid w:val="00661F3F"/>
    <w:rsid w:val="006B50F8"/>
    <w:rsid w:val="008E5D92"/>
    <w:rsid w:val="008F0646"/>
    <w:rsid w:val="00C463A1"/>
    <w:rsid w:val="00D10172"/>
    <w:rsid w:val="00E61C2D"/>
    <w:rsid w:val="00E9758A"/>
    <w:rsid w:val="00F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C9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9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6B9F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9758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5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58A"/>
    <w:rPr>
      <w:rFonts w:ascii="Lucida Grande" w:hAnsi="Lucida Grande" w:cs="Lucida Grande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9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6B9F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9758A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58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58A"/>
    <w:rPr>
      <w:rFonts w:ascii="Lucida Grande" w:hAnsi="Lucida Grande" w:cs="Lucida Grande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illeurechainedemagasins.fr" TargetMode="External"/><Relationship Id="rId6" Type="http://schemas.openxmlformats.org/officeDocument/2006/relationships/image" Target="media/image1.png"/><Relationship Id="rId7" Type="http://schemas.openxmlformats.org/officeDocument/2006/relationships/hyperlink" Target="x-msg://50/merkes@meilleurechainedemagasins.fr" TargetMode="External"/><Relationship Id="rId8" Type="http://schemas.openxmlformats.org/officeDocument/2006/relationships/hyperlink" Target="http://www.meilleurechainedemagasins.f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3868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 Spot</dc:creator>
  <cp:keywords/>
  <dc:description/>
  <cp:lastModifiedBy>Eric Merkes</cp:lastModifiedBy>
  <cp:revision>3</cp:revision>
  <dcterms:created xsi:type="dcterms:W3CDTF">2013-01-06T10:45:00Z</dcterms:created>
  <dcterms:modified xsi:type="dcterms:W3CDTF">2013-01-08T09:17:00Z</dcterms:modified>
</cp:coreProperties>
</file>